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color w:val="000000"/>
          <w:sz w:val="20"/>
          <w:szCs w:val="20"/>
        </w:rPr>
      </w:pPr>
    </w:p>
    <w:p w:rsidR="00AD041B" w:rsidRDefault="00592622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>Časový plán</w:t>
      </w:r>
      <w:r w:rsidR="00097349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v oblasti ochrany ovzduší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obce </w:t>
      </w:r>
      <w:r w:rsidR="004311EA" w:rsidRPr="004311EA">
        <w:rPr>
          <w:rFonts w:ascii="Segoe UI" w:hAnsi="Segoe UI" w:cs="Segoe UI"/>
          <w:b/>
          <w:color w:val="000000" w:themeColor="text1"/>
          <w:sz w:val="32"/>
          <w:szCs w:val="32"/>
        </w:rPr>
        <w:t>Písková Lhota</w:t>
      </w:r>
    </w:p>
    <w:p w:rsidR="00AD041B" w:rsidRDefault="00AD04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875"/>
        <w:gridCol w:w="1285"/>
        <w:gridCol w:w="2565"/>
        <w:gridCol w:w="4709"/>
        <w:gridCol w:w="4044"/>
        <w:gridCol w:w="21"/>
        <w:gridCol w:w="2569"/>
        <w:gridCol w:w="1871"/>
      </w:tblGrid>
      <w:tr w:rsidR="00AD041B" w:rsidTr="00C50AD5">
        <w:trPr>
          <w:trHeight w:val="598"/>
        </w:trPr>
        <w:tc>
          <w:tcPr>
            <w:tcW w:w="415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54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11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40" w:type="pct"/>
            <w:gridSpan w:val="3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27" w:type="pct"/>
            <w:gridSpan w:val="2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53" w:type="pct"/>
            <w:vMerge w:val="restar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:rsidTr="00C50AD5">
        <w:trPr>
          <w:trHeight w:val="597"/>
        </w:trPr>
        <w:tc>
          <w:tcPr>
            <w:tcW w:w="415" w:type="pct"/>
            <w:vMerge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D6E3BC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D6E3BC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140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979" w:type="pct"/>
            <w:shd w:val="clear" w:color="auto" w:fill="D6E3BC"/>
            <w:vAlign w:val="center"/>
          </w:tcPr>
          <w:p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2D46D3" w:rsidTr="00101514">
        <w:trPr>
          <w:trHeight w:val="2552"/>
        </w:trPr>
        <w:tc>
          <w:tcPr>
            <w:tcW w:w="415" w:type="pct"/>
            <w:vMerge w:val="restart"/>
            <w:shd w:val="clear" w:color="auto" w:fill="auto"/>
          </w:tcPr>
          <w:p w:rsidR="002D46D3" w:rsidRPr="00085DD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PZKO_2020_1</w:t>
            </w:r>
          </w:p>
          <w:p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  <w:p w:rsidR="002D46D3" w:rsidRPr="00085DD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592622" w:rsidRPr="004311EA" w:rsidRDefault="004311EA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4311EA">
              <w:rPr>
                <w:rFonts w:cs="Segoe UI"/>
                <w:i/>
                <w:color w:val="000000" w:themeColor="text1"/>
                <w:sz w:val="18"/>
                <w:szCs w:val="18"/>
              </w:rPr>
              <w:t>Písková Lhota</w:t>
            </w:r>
          </w:p>
          <w:p w:rsidR="002D46D3" w:rsidRDefault="002D46D3" w:rsidP="00246A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2D46D3" w:rsidRDefault="002D46D3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  <w:r w:rsidR="00592622">
              <w:rPr>
                <w:b/>
                <w:sz w:val="18"/>
                <w:szCs w:val="18"/>
                <w:lang w:eastAsia="cs-CZ"/>
              </w:rPr>
              <w:t>(KTSP)</w:t>
            </w:r>
          </w:p>
        </w:tc>
        <w:tc>
          <w:tcPr>
            <w:tcW w:w="1140" w:type="pct"/>
            <w:shd w:val="clear" w:color="auto" w:fill="auto"/>
          </w:tcPr>
          <w:p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b/>
                <w:color w:val="000000" w:themeColor="text1"/>
                <w:sz w:val="18"/>
                <w:szCs w:val="18"/>
              </w:rPr>
              <w:t>Mapování zdrojů na pevná paliva na území ORP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:rsidR="002D46D3" w:rsidRPr="00085DD5" w:rsidRDefault="00592622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color w:val="000000" w:themeColor="text1"/>
                <w:sz w:val="18"/>
                <w:szCs w:val="18"/>
              </w:rPr>
              <w:t>S</w:t>
            </w:r>
            <w:r w:rsidR="002D46D3" w:rsidRPr="00085DD5">
              <w:rPr>
                <w:rFonts w:cs="Segoe UI"/>
                <w:color w:val="000000" w:themeColor="text1"/>
                <w:sz w:val="18"/>
                <w:szCs w:val="18"/>
              </w:rPr>
              <w:t>polupráce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s ORP</w:t>
            </w:r>
            <w:r w:rsidR="002D46D3" w:rsidRPr="00085DD5">
              <w:rPr>
                <w:rFonts w:cs="Segoe UI"/>
                <w:color w:val="000000" w:themeColor="text1"/>
                <w:sz w:val="18"/>
                <w:szCs w:val="18"/>
              </w:rPr>
              <w:t xml:space="preserve"> při mapování zdrojů na pevná paliva (před začátkem první topné sezóny nebo v jejím průběhu)</w:t>
            </w:r>
          </w:p>
          <w:p w:rsidR="002D46D3" w:rsidRDefault="00592622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Předání evidovaných stížností na obtěžování kouřem a dalších podnětů ORP</w:t>
            </w:r>
          </w:p>
          <w:p w:rsidR="00592622" w:rsidRDefault="00592622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Místní šetření ve spolupráci s ORP – mapování zdrojů na pevná paliva</w:t>
            </w:r>
          </w:p>
          <w:p w:rsidR="00CF43A3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</w:p>
          <w:p w:rsidR="00CF43A3" w:rsidRDefault="00CF43A3" w:rsidP="00CF43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</w:p>
          <w:p w:rsidR="00CF43A3" w:rsidRPr="00CF43A3" w:rsidRDefault="00CF43A3" w:rsidP="00CF43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592622" w:rsidRPr="004311EA" w:rsidRDefault="00101514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Alena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Rosenbergová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starostka obce</w:t>
            </w:r>
          </w:p>
          <w:p w:rsidR="002D46D3" w:rsidRDefault="00592622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</w:t>
            </w:r>
            <w:r w:rsidR="002D46D3"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  <w:p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/>
                <w:sz w:val="18"/>
                <w:szCs w:val="18"/>
              </w:rPr>
              <w:t>náklady na cesty</w:t>
            </w:r>
          </w:p>
        </w:tc>
        <w:tc>
          <w:tcPr>
            <w:tcW w:w="453" w:type="pct"/>
            <w:shd w:val="clear" w:color="auto" w:fill="auto"/>
          </w:tcPr>
          <w:p w:rsidR="002D46D3" w:rsidRPr="004311EA" w:rsidRDefault="004311EA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  <w:r w:rsidRPr="004311EA">
              <w:rPr>
                <w:rFonts w:cs="Segoe UI"/>
                <w:b/>
                <w:i/>
                <w:sz w:val="18"/>
                <w:szCs w:val="18"/>
              </w:rPr>
              <w:t>IV</w:t>
            </w:r>
            <w:r w:rsidR="00F30FEE" w:rsidRPr="004311EA">
              <w:rPr>
                <w:rFonts w:cs="Segoe UI"/>
                <w:b/>
                <w:i/>
                <w:sz w:val="18"/>
                <w:szCs w:val="18"/>
              </w:rPr>
              <w:t xml:space="preserve">. kvartál </w:t>
            </w:r>
            <w:r w:rsidRPr="004311EA">
              <w:rPr>
                <w:rFonts w:cs="Segoe UI"/>
                <w:b/>
                <w:i/>
                <w:sz w:val="18"/>
                <w:szCs w:val="18"/>
              </w:rPr>
              <w:t>202</w:t>
            </w:r>
            <w:r w:rsidR="00101514">
              <w:rPr>
                <w:rFonts w:cs="Segoe UI"/>
                <w:b/>
                <w:i/>
                <w:sz w:val="18"/>
                <w:szCs w:val="18"/>
              </w:rPr>
              <w:t>3</w:t>
            </w:r>
          </w:p>
          <w:p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2D46D3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Identifikace 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 řešení případů nesouladu v rámci KTSP </w:t>
            </w:r>
          </w:p>
          <w:p w:rsidR="002D46D3" w:rsidRPr="009F3618" w:rsidRDefault="00592622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V rámci spolupráce s OÚ ORP i</w:t>
            </w:r>
            <w:r w:rsidR="002D46D3" w:rsidRPr="009F3618">
              <w:rPr>
                <w:rFonts w:cs="Segoe UI"/>
                <w:color w:val="000000"/>
                <w:sz w:val="18"/>
                <w:szCs w:val="18"/>
              </w:rPr>
              <w:t>dentifikace domácností, kde doklad o provedení kontroly technického stavu a provozu kotle identifikoval rozpor se zákonem o ochraně ovzduší,</w:t>
            </w:r>
          </w:p>
          <w:p w:rsidR="002D46D3" w:rsidRPr="00CF43A3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řešení těchto případů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např. asistencí s vyřízením žádosti o dotace, </w:t>
            </w:r>
            <w:r w:rsidRPr="009F3618">
              <w:rPr>
                <w:rFonts w:cs="Segoe UI"/>
                <w:color w:val="000000"/>
                <w:sz w:val="18"/>
                <w:szCs w:val="18"/>
              </w:rPr>
              <w:t xml:space="preserve">v krajním případě pomocí sankcí či nápravných opatření. </w:t>
            </w:r>
          </w:p>
          <w:p w:rsidR="00CF43A3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  <w:p w:rsidR="00CF43A3" w:rsidRPr="009F3618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Alena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Rosenbergová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starostka obce</w:t>
            </w:r>
          </w:p>
          <w:p w:rsidR="00592622" w:rsidRDefault="00592622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592622" w:rsidRDefault="002D46D3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  <w:p w:rsidR="002D46D3" w:rsidRPr="007A7851" w:rsidRDefault="00592622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poštovné</w:t>
            </w:r>
          </w:p>
        </w:tc>
        <w:tc>
          <w:tcPr>
            <w:tcW w:w="453" w:type="pct"/>
            <w:shd w:val="clear" w:color="auto" w:fill="auto"/>
          </w:tcPr>
          <w:p w:rsidR="004311EA" w:rsidRPr="004311EA" w:rsidRDefault="004311EA" w:rsidP="004311E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  <w:r w:rsidRPr="004311EA">
              <w:rPr>
                <w:rFonts w:cs="Segoe UI"/>
                <w:b/>
                <w:i/>
                <w:sz w:val="18"/>
                <w:szCs w:val="18"/>
              </w:rPr>
              <w:t>IV. kvartál 202</w:t>
            </w:r>
            <w:r w:rsidR="00101514">
              <w:rPr>
                <w:rFonts w:cs="Segoe UI"/>
                <w:b/>
                <w:i/>
                <w:sz w:val="18"/>
                <w:szCs w:val="18"/>
              </w:rPr>
              <w:t>3</w:t>
            </w:r>
          </w:p>
          <w:p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4338DE" w:rsidTr="00C50AD5">
        <w:trPr>
          <w:trHeight w:val="913"/>
        </w:trPr>
        <w:tc>
          <w:tcPr>
            <w:tcW w:w="415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Finanční podpora </w:t>
            </w:r>
            <w:r w:rsidRPr="00024A5D">
              <w:rPr>
                <w:b/>
                <w:i/>
                <w:sz w:val="18"/>
                <w:szCs w:val="18"/>
                <w:lang w:eastAsia="cs-CZ"/>
              </w:rPr>
              <w:t>(obec, kraj)</w:t>
            </w:r>
          </w:p>
        </w:tc>
        <w:tc>
          <w:tcPr>
            <w:tcW w:w="1140" w:type="pct"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Analýza situace v obci </w:t>
            </w:r>
          </w:p>
          <w:p w:rsidR="004338DE" w:rsidRPr="00CF43A3" w:rsidRDefault="004338DE" w:rsidP="006B0E7B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fakultativně 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dotazníková akce (jsou/nejsou zdroje na pevná paliva na území obce, mají/nemají akumulační nádobu, odhad absorpční kapacity), využití údajů z</w:t>
            </w:r>
            <w:r w:rsidR="00CF43A3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KTSP</w:t>
            </w:r>
          </w:p>
          <w:p w:rsidR="00CF43A3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  <w:p w:rsidR="00CF43A3" w:rsidRPr="001504D7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4311EA" w:rsidRPr="004311EA" w:rsidRDefault="00101514" w:rsidP="004311EA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592622" w:rsidRPr="00592622" w:rsidRDefault="00592622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FF0000"/>
                <w:sz w:val="18"/>
                <w:szCs w:val="18"/>
              </w:rPr>
            </w:pPr>
            <w:r w:rsidRPr="00592622">
              <w:rPr>
                <w:rFonts w:cs="Segoe UI"/>
                <w:i/>
                <w:color w:val="FF0000"/>
                <w:sz w:val="18"/>
                <w:szCs w:val="18"/>
              </w:rPr>
              <w:t xml:space="preserve"> </w:t>
            </w:r>
          </w:p>
          <w:p w:rsidR="00592622" w:rsidRDefault="00592622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4338DE" w:rsidRDefault="004338DE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</w:tc>
        <w:tc>
          <w:tcPr>
            <w:tcW w:w="453" w:type="pct"/>
            <w:shd w:val="clear" w:color="auto" w:fill="auto"/>
          </w:tcPr>
          <w:p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4338DE" w:rsidTr="00C50AD5">
        <w:trPr>
          <w:trHeight w:val="1037"/>
        </w:trPr>
        <w:tc>
          <w:tcPr>
            <w:tcW w:w="415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4338DE" w:rsidRDefault="004338DE" w:rsidP="009F3618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Identifikace možných finančních prostředků a informování MŽP</w:t>
            </w:r>
          </w:p>
          <w:p w:rsidR="00CF43A3" w:rsidRPr="00CF43A3" w:rsidRDefault="004338DE" w:rsidP="00CF43A3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např. v rámci stávajících či nově připravovaných programů na podporu </w:t>
            </w:r>
            <w:r w:rsidR="00592622">
              <w:rPr>
                <w:rFonts w:cs="Segoe UI"/>
                <w:color w:val="000000"/>
                <w:sz w:val="18"/>
                <w:szCs w:val="18"/>
              </w:rPr>
              <w:t>rozvoje bytového fondu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:rsidR="00CF43A3" w:rsidRPr="00CF43A3" w:rsidRDefault="00CF43A3" w:rsidP="00CF43A3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592622" w:rsidRDefault="00592622" w:rsidP="0059262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</w:tcPr>
          <w:p w:rsidR="004338DE" w:rsidRDefault="004338DE" w:rsidP="00592622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</w:tc>
        <w:tc>
          <w:tcPr>
            <w:tcW w:w="453" w:type="pct"/>
            <w:shd w:val="clear" w:color="auto" w:fill="auto"/>
          </w:tcPr>
          <w:p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</w:t>
            </w:r>
            <w:r w:rsidR="0008191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od vydání PZKO</w:t>
            </w:r>
          </w:p>
        </w:tc>
      </w:tr>
      <w:tr w:rsidR="004338DE" w:rsidTr="00C50AD5">
        <w:trPr>
          <w:trHeight w:val="1134"/>
        </w:trPr>
        <w:tc>
          <w:tcPr>
            <w:tcW w:w="415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:rsidR="004338DE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začlenění finanční podpory do stávajících obecních programů zaměřených např. na zateplování a renovace (dotace, bezúročné nebo </w:t>
            </w:r>
            <w:proofErr w:type="spellStart"/>
            <w:r w:rsidRPr="001504D7">
              <w:rPr>
                <w:rFonts w:cs="Segoe UI"/>
                <w:color w:val="000000"/>
                <w:sz w:val="18"/>
                <w:szCs w:val="18"/>
              </w:rPr>
              <w:t>nízkoúročné</w:t>
            </w:r>
            <w:proofErr w:type="spellEnd"/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 půjčky) nebo vytvoření nového programu</w:t>
            </w:r>
            <w:r w:rsidRPr="001504D7">
              <w:rPr>
                <w:rFonts w:cs="Segoe UI"/>
                <w:b/>
                <w:color w:val="000000"/>
                <w:sz w:val="18"/>
                <w:szCs w:val="18"/>
              </w:rPr>
              <w:t xml:space="preserve"> </w:t>
            </w:r>
          </w:p>
          <w:p w:rsidR="00CF43A3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  <w:p w:rsidR="00CF43A3" w:rsidRPr="001504D7" w:rsidRDefault="00CF43A3" w:rsidP="00CF43A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4338DE" w:rsidRDefault="004338DE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</w:tc>
        <w:tc>
          <w:tcPr>
            <w:tcW w:w="453" w:type="pct"/>
            <w:shd w:val="clear" w:color="auto" w:fill="auto"/>
          </w:tcPr>
          <w:p w:rsidR="004338DE" w:rsidRPr="006433BB" w:rsidRDefault="00101514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Po dobu trvání výzvy kotlíkové dotace</w:t>
            </w:r>
          </w:p>
        </w:tc>
      </w:tr>
      <w:tr w:rsidR="004338DE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propagace programu (lokální tisk, místní rozhlas apod.)</w:t>
            </w:r>
          </w:p>
          <w:p w:rsidR="004338DE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přímé oslovení konkrétních vytipovaných domácností</w:t>
            </w:r>
          </w:p>
          <w:p w:rsidR="00EB114F" w:rsidRDefault="00EB114F" w:rsidP="00EB114F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:rsidR="00EB114F" w:rsidRPr="001504D7" w:rsidRDefault="00EB114F" w:rsidP="00EB114F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4338DE" w:rsidRDefault="004338DE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</w:tc>
        <w:tc>
          <w:tcPr>
            <w:tcW w:w="453" w:type="pct"/>
            <w:shd w:val="clear" w:color="auto" w:fill="auto"/>
          </w:tcPr>
          <w:p w:rsidR="004338DE" w:rsidRPr="004311EA" w:rsidRDefault="00101514" w:rsidP="00246AE3">
            <w:pPr>
              <w:rPr>
                <w:rFonts w:cs="Segoe UI"/>
                <w:b/>
                <w:i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Po dobu trvání výzvy kotlíkové dotace</w:t>
            </w:r>
          </w:p>
        </w:tc>
      </w:tr>
      <w:tr w:rsidR="004338DE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Asistence při podání žádosti o dotaci poskytované na vyšší úrovni (kraj, stát)</w:t>
            </w:r>
          </w:p>
          <w:p w:rsidR="004338DE" w:rsidRDefault="004338DE" w:rsidP="00EC0297">
            <w:pPr>
              <w:pStyle w:val="Odstavecseseznamem"/>
              <w:numPr>
                <w:ilvl w:val="0"/>
                <w:numId w:val="8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8C60A2">
              <w:rPr>
                <w:rFonts w:cs="Segoe UI"/>
                <w:color w:val="000000"/>
                <w:sz w:val="18"/>
                <w:szCs w:val="18"/>
              </w:rPr>
              <w:t xml:space="preserve">Poskytování pomoci při vyplňování žádosti o poskytnutí dotace (např. z OPŽP nebo NZU) a realizaci opatření.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Specifické zaměření na osoby, pro které je tento krok zásadní překážkou čerpání dotace. </w:t>
            </w:r>
          </w:p>
          <w:p w:rsidR="00EB114F" w:rsidRDefault="00EB114F" w:rsidP="00EB114F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:rsidR="00EB114F" w:rsidRPr="008C60A2" w:rsidRDefault="00EB114F" w:rsidP="00EB114F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04450A" w:rsidRDefault="0004450A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4338DE" w:rsidRDefault="004338DE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</w:t>
            </w:r>
            <w:bookmarkStart w:id="0" w:name="_GoBack"/>
            <w:bookmarkEnd w:id="0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ců </w:t>
            </w:r>
          </w:p>
        </w:tc>
        <w:tc>
          <w:tcPr>
            <w:tcW w:w="453" w:type="pct"/>
            <w:shd w:val="clear" w:color="auto" w:fill="auto"/>
          </w:tcPr>
          <w:p w:rsidR="004338DE" w:rsidRPr="006433BB" w:rsidRDefault="004338DE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Od vyhlášení výzvy (OPŽP, NZÚ) až do doby trvání aktivity</w:t>
            </w:r>
          </w:p>
        </w:tc>
      </w:tr>
      <w:tr w:rsidR="004338DE" w:rsidTr="00C50AD5">
        <w:trPr>
          <w:trHeight w:val="1102"/>
        </w:trPr>
        <w:tc>
          <w:tcPr>
            <w:tcW w:w="415" w:type="pct"/>
            <w:vMerge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Šíření informací o poskytovaných dotačních titulech, spolupráce se zprostředkovatelem podpory </w:t>
            </w:r>
          </w:p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ind w:left="360"/>
              <w:rPr>
                <w:rFonts w:cs="Segoe UI"/>
                <w:color w:val="000000"/>
                <w:sz w:val="18"/>
                <w:szCs w:val="18"/>
              </w:rPr>
            </w:pPr>
            <w:r w:rsidRPr="00C74F82">
              <w:rPr>
                <w:rFonts w:cs="Segoe UI"/>
                <w:color w:val="000000"/>
                <w:sz w:val="18"/>
                <w:szCs w:val="18"/>
              </w:rPr>
              <w:t>Způsob distribuce informací v zásadě shodn</w:t>
            </w:r>
            <w:r>
              <w:rPr>
                <w:rFonts w:cs="Segoe UI"/>
                <w:color w:val="000000"/>
                <w:sz w:val="18"/>
                <w:szCs w:val="18"/>
              </w:rPr>
              <w:t>ý</w:t>
            </w:r>
            <w:r w:rsidRPr="00C74F82">
              <w:rPr>
                <w:rFonts w:cs="Segoe UI"/>
                <w:color w:val="000000"/>
                <w:sz w:val="18"/>
                <w:szCs w:val="18"/>
              </w:rPr>
              <w:t xml:space="preserve"> s předchozím krokem, možnost přímého oslovení domácností identifikovaných v rámci mapování zdrojů.</w:t>
            </w:r>
          </w:p>
          <w:p w:rsidR="00EB114F" w:rsidRDefault="00EB114F" w:rsidP="00176BD3">
            <w:pPr>
              <w:tabs>
                <w:tab w:val="center" w:pos="7088"/>
              </w:tabs>
              <w:spacing w:after="0" w:line="240" w:lineRule="auto"/>
              <w:ind w:left="360"/>
              <w:rPr>
                <w:rFonts w:cs="Segoe UI"/>
                <w:color w:val="000000"/>
                <w:sz w:val="18"/>
                <w:szCs w:val="18"/>
              </w:rPr>
            </w:pPr>
          </w:p>
          <w:p w:rsidR="00EB114F" w:rsidRPr="00176BD3" w:rsidRDefault="00EB114F" w:rsidP="00176BD3">
            <w:pPr>
              <w:tabs>
                <w:tab w:val="center" w:pos="7088"/>
              </w:tabs>
              <w:spacing w:after="0" w:line="240" w:lineRule="auto"/>
              <w:ind w:left="360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04450A" w:rsidRDefault="0004450A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:rsidR="004338DE" w:rsidRPr="006433BB" w:rsidRDefault="004338DE" w:rsidP="00176B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ihned po vyhlášení výzvy po celou dobu jejího trvání</w:t>
            </w:r>
          </w:p>
        </w:tc>
      </w:tr>
      <w:tr w:rsidR="00176BD3" w:rsidTr="00C50AD5">
        <w:trPr>
          <w:trHeight w:val="504"/>
        </w:trPr>
        <w:tc>
          <w:tcPr>
            <w:tcW w:w="415" w:type="pct"/>
            <w:shd w:val="clear" w:color="auto" w:fill="auto"/>
          </w:tcPr>
          <w:p w:rsidR="00176BD3" w:rsidRPr="00024A5D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454" w:type="pct"/>
            <w:shd w:val="clear" w:color="auto" w:fill="auto"/>
          </w:tcPr>
          <w:p w:rsidR="00176BD3" w:rsidRPr="00024A5D" w:rsidRDefault="00176BD3" w:rsidP="00176BD3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11" w:type="pct"/>
            <w:shd w:val="clear" w:color="auto" w:fill="auto"/>
          </w:tcPr>
          <w:p w:rsidR="00176BD3" w:rsidRPr="004311EA" w:rsidRDefault="004311EA" w:rsidP="00176BD3">
            <w:pPr>
              <w:spacing w:after="0" w:line="240" w:lineRule="auto"/>
              <w:rPr>
                <w:rFonts w:cs="Segoe UI"/>
                <w:sz w:val="18"/>
                <w:szCs w:val="18"/>
              </w:rPr>
            </w:pPr>
            <w:r w:rsidRPr="004311EA">
              <w:rPr>
                <w:rFonts w:cs="Segoe UI"/>
                <w:i/>
                <w:sz w:val="18"/>
                <w:szCs w:val="18"/>
              </w:rPr>
              <w:t>Písková Lhota</w:t>
            </w:r>
          </w:p>
        </w:tc>
        <w:tc>
          <w:tcPr>
            <w:tcW w:w="621" w:type="pct"/>
            <w:shd w:val="clear" w:color="auto" w:fill="auto"/>
          </w:tcPr>
          <w:p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Osvěta </w:t>
            </w:r>
          </w:p>
          <w:p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:rsidR="00176BD3" w:rsidRPr="00085DD5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Oslovení místních odborně způsobilých osob</w:t>
            </w:r>
            <w:r>
              <w:rPr>
                <w:rFonts w:cs="Segoe UI"/>
                <w:color w:val="000000"/>
                <w:sz w:val="18"/>
                <w:szCs w:val="18"/>
              </w:rPr>
              <w:t>, kominíků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 a zástupců hasičů či dobrovolných hasičů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 žádostí o spolupráci </w:t>
            </w:r>
          </w:p>
          <w:p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Identifikace vhodných komunikačních kanálů (místní tisk, rozhlas, společenské akce apod.). </w:t>
            </w:r>
          </w:p>
          <w:p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Distribuce propagačních materiálů těmito identifikovanými kanály: distribuce letáků, konání specificky zaměřených besed s účastí odborně způsobilých osob, kominíků či zástupce hasičů, případně přidružení přednášky, prezentace na téma ochrana ovzduší a správný provoz spalovacích zdrojů na pevná paliva k jiným společenským událostem.</w:t>
            </w:r>
          </w:p>
          <w:p w:rsidR="00EB114F" w:rsidRDefault="00EB114F" w:rsidP="00EB114F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:rsidR="00101514" w:rsidRPr="004311EA" w:rsidRDefault="00101514" w:rsidP="00101514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Obec Písková Lhota</w:t>
            </w:r>
          </w:p>
          <w:p w:rsidR="0004450A" w:rsidRDefault="0004450A" w:rsidP="0004450A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+ za ORP Eva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Roychoudhury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DiS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., odbor životního prostředí, </w:t>
            </w:r>
            <w:proofErr w:type="spellStart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MěÚ</w:t>
            </w:r>
            <w:proofErr w:type="spellEnd"/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Poděbrady</w:t>
            </w:r>
          </w:p>
          <w:p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  <w:p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:rsidR="004311EA" w:rsidRPr="004311EA" w:rsidRDefault="00101514" w:rsidP="004311E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sz w:val="18"/>
                <w:szCs w:val="18"/>
              </w:rPr>
            </w:pPr>
            <w:r>
              <w:rPr>
                <w:rFonts w:cs="Segoe UI"/>
                <w:b/>
                <w:i/>
                <w:sz w:val="18"/>
                <w:szCs w:val="18"/>
              </w:rPr>
              <w:t>Průběžně do konce roku 2023</w:t>
            </w:r>
          </w:p>
          <w:p w:rsidR="00176BD3" w:rsidRPr="00C50AD5" w:rsidRDefault="00176BD3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AD041B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C4" w:rsidRDefault="00E221C4">
      <w:pPr>
        <w:spacing w:after="0" w:line="240" w:lineRule="auto"/>
      </w:pPr>
      <w:r>
        <w:separator/>
      </w:r>
    </w:p>
  </w:endnote>
  <w:endnote w:type="continuationSeparator" w:id="0">
    <w:p w:rsidR="00E221C4" w:rsidRDefault="00E2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1B" w:rsidRDefault="00AD041B">
    <w:pPr>
      <w:rPr>
        <w:rStyle w:val="slostrnky"/>
        <w:sz w:val="16"/>
      </w:rPr>
    </w:pPr>
  </w:p>
  <w:p w:rsidR="00AD041B" w:rsidRDefault="00BF5097">
    <w:pPr>
      <w:rPr>
        <w:rStyle w:val="slostrnky"/>
        <w:sz w:val="16"/>
      </w:rPr>
    </w:pPr>
    <w:r w:rsidRPr="00BF5097">
      <w:rPr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8752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BF5097">
      <w:rPr>
        <w:noProof/>
        <w:sz w:val="16"/>
        <w:szCs w:val="16"/>
        <w:lang w:eastAsia="cs-CZ"/>
      </w:rPr>
      <w:pict>
        <v:shape id="_x0000_i1027" type="#_x0000_t75" style="width:453pt;height:26.25pt;mso-wrap-distance-left:0;mso-wrap-distance-top:0;mso-wrap-distance-right:0;mso-wrap-distance-bottom:0">
          <v:imagedata r:id="rId1" o:title=""/>
          <v:path textboxrect="0,0,0,0"/>
        </v:shape>
      </w:pict>
    </w:r>
  </w:p>
  <w:p w:rsidR="00AD041B" w:rsidRDefault="00BF5097">
    <w:pPr>
      <w:jc w:val="center"/>
    </w:pPr>
    <w:r>
      <w:rPr>
        <w:rStyle w:val="slostrnky"/>
        <w:sz w:val="16"/>
      </w:rPr>
      <w:fldChar w:fldCharType="begin"/>
    </w:r>
    <w:r w:rsidR="003616F6"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97349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 w:rsidR="003616F6"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 w:rsidR="003616F6"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097349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AD041B" w:rsidRDefault="00AD04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C4" w:rsidRDefault="00E221C4">
      <w:pPr>
        <w:spacing w:after="0" w:line="240" w:lineRule="auto"/>
      </w:pPr>
      <w:r>
        <w:separator/>
      </w:r>
    </w:p>
  </w:footnote>
  <w:footnote w:type="continuationSeparator" w:id="0">
    <w:p w:rsidR="00E221C4" w:rsidRDefault="00E221C4">
      <w:pPr>
        <w:spacing w:after="0" w:line="240" w:lineRule="auto"/>
      </w:pPr>
      <w:r>
        <w:continuationSeparator/>
      </w:r>
    </w:p>
  </w:footnote>
  <w:footnote w:id="1">
    <w:p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2">
    <w:p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1B" w:rsidRDefault="003616F6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 xml:space="preserve">    </w:t>
    </w:r>
    <w:r w:rsidR="00BF5097" w:rsidRPr="00BF5097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0pt;height:50pt;z-index:251656704;visibility:hidden;mso-position-horizontal-relative:text;mso-position-vertical-relative:text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="00BF5097">
      <w:rPr>
        <w:noProof/>
        <w:lang w:eastAsia="cs-CZ"/>
      </w:rPr>
      <w:pict>
        <v:shape id="_x0000_i0" o:spid="_x0000_i1025" type="#_x0000_t75" style="width:126pt;height:45pt;mso-wrap-distance-left:0;mso-wrap-distance-top:0;mso-wrap-distance-right:0;mso-wrap-distance-bottom:0">
          <v:imagedata r:id="rId1" o:title=""/>
          <v:path textboxrect="0,0,0,0"/>
        </v:shape>
      </w:pict>
    </w:r>
    <w:r>
      <w:tab/>
    </w:r>
    <w:r>
      <w:tab/>
    </w:r>
    <w:r w:rsidR="00BF5097" w:rsidRPr="00BF5097">
      <w:rPr>
        <w:noProof/>
        <w:lang w:eastAsia="cs-CZ"/>
      </w:rPr>
      <w:pict>
        <v:shape id="_x0000_s2052" type="#_x0000_t75" style="position:absolute;margin-left:0;margin-top:0;width:50pt;height:50pt;z-index:251657728;visibility:hidden;mso-position-horizontal-relative:text;mso-position-vertical-relative:text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="00BF5097">
      <w:rPr>
        <w:noProof/>
        <w:lang w:eastAsia="cs-CZ"/>
      </w:rPr>
      <w:pict>
        <v:shape id="_x0000_i1026" type="#_x0000_t75" style="width:130.5pt;height:45pt;mso-wrap-distance-left:0;mso-wrap-distance-top:0;mso-wrap-distance-right:0;mso-wrap-distance-bottom:0">
          <v:imagedata r:id="rId1" o:title=""/>
          <v:path textboxrect="0,0,0,0"/>
        </v:shape>
      </w:pict>
    </w:r>
    <w:r>
      <w:tab/>
    </w:r>
    <w:r>
      <w:tab/>
    </w:r>
    <w:r>
      <w:tab/>
    </w:r>
    <w:r>
      <w:tab/>
    </w:r>
  </w:p>
  <w:p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41B"/>
    <w:rsid w:val="00001D8B"/>
    <w:rsid w:val="00024A5D"/>
    <w:rsid w:val="0004450A"/>
    <w:rsid w:val="00076DF2"/>
    <w:rsid w:val="00081913"/>
    <w:rsid w:val="00085DD5"/>
    <w:rsid w:val="00097349"/>
    <w:rsid w:val="000A67AE"/>
    <w:rsid w:val="00101514"/>
    <w:rsid w:val="00122993"/>
    <w:rsid w:val="001504D7"/>
    <w:rsid w:val="001666E9"/>
    <w:rsid w:val="001720AA"/>
    <w:rsid w:val="00176BD3"/>
    <w:rsid w:val="001B0B31"/>
    <w:rsid w:val="001E6663"/>
    <w:rsid w:val="00233C8B"/>
    <w:rsid w:val="00246AE3"/>
    <w:rsid w:val="002C164E"/>
    <w:rsid w:val="002D46D3"/>
    <w:rsid w:val="003616F6"/>
    <w:rsid w:val="00392F56"/>
    <w:rsid w:val="004002FB"/>
    <w:rsid w:val="004311EA"/>
    <w:rsid w:val="004338DE"/>
    <w:rsid w:val="004775D3"/>
    <w:rsid w:val="004A2E52"/>
    <w:rsid w:val="00592622"/>
    <w:rsid w:val="006433BB"/>
    <w:rsid w:val="006B0E7B"/>
    <w:rsid w:val="006D332F"/>
    <w:rsid w:val="0073641E"/>
    <w:rsid w:val="007A7851"/>
    <w:rsid w:val="007D3146"/>
    <w:rsid w:val="00823E6B"/>
    <w:rsid w:val="008A7EFB"/>
    <w:rsid w:val="008C60A2"/>
    <w:rsid w:val="009073DC"/>
    <w:rsid w:val="009F3618"/>
    <w:rsid w:val="00AD041B"/>
    <w:rsid w:val="00B34C66"/>
    <w:rsid w:val="00B64D8C"/>
    <w:rsid w:val="00BB30F8"/>
    <w:rsid w:val="00BF5097"/>
    <w:rsid w:val="00C50AD5"/>
    <w:rsid w:val="00C74F82"/>
    <w:rsid w:val="00CA0C25"/>
    <w:rsid w:val="00CA4EBB"/>
    <w:rsid w:val="00CF43A3"/>
    <w:rsid w:val="00D32BCD"/>
    <w:rsid w:val="00DC2C4E"/>
    <w:rsid w:val="00DE5454"/>
    <w:rsid w:val="00E221C4"/>
    <w:rsid w:val="00EB114F"/>
    <w:rsid w:val="00EC0297"/>
    <w:rsid w:val="00F12F76"/>
    <w:rsid w:val="00F30FEE"/>
    <w:rsid w:val="00F3243B"/>
    <w:rsid w:val="00F5643A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514"/>
  </w:style>
  <w:style w:type="paragraph" w:styleId="Nadpis1">
    <w:name w:val="heading 1"/>
    <w:basedOn w:val="Normln"/>
    <w:next w:val="Normln"/>
    <w:link w:val="Nadpis1Char"/>
    <w:uiPriority w:val="9"/>
    <w:qFormat/>
    <w:rsid w:val="00BF5097"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5097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09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09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509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509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509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509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509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sid w:val="00BF509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sid w:val="00BF509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sid w:val="00BF509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sid w:val="00BF509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sid w:val="00BF509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sid w:val="00BF509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sid w:val="00BF50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sid w:val="00BF509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sid w:val="00BF5097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BF5097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5097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5097"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5097"/>
    <w:rPr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BF5097"/>
    <w:pPr>
      <w:ind w:left="720" w:right="720"/>
    </w:pPr>
    <w:rPr>
      <w:i/>
    </w:rPr>
  </w:style>
  <w:style w:type="character" w:customStyle="1" w:styleId="CitaceChar">
    <w:name w:val="Citace Char"/>
    <w:link w:val="Citace"/>
    <w:uiPriority w:val="29"/>
    <w:rsid w:val="00BF5097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F50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ceintenzivnChar">
    <w:name w:val="Citace – intenzivní Char"/>
    <w:link w:val="Citaceintenzivn"/>
    <w:uiPriority w:val="30"/>
    <w:rsid w:val="00BF5097"/>
    <w:rPr>
      <w:i/>
    </w:rPr>
  </w:style>
  <w:style w:type="character" w:customStyle="1" w:styleId="HeaderChar">
    <w:name w:val="Header Char"/>
    <w:basedOn w:val="Standardnpsmoodstavce"/>
    <w:uiPriority w:val="99"/>
    <w:rsid w:val="00BF5097"/>
  </w:style>
  <w:style w:type="character" w:customStyle="1" w:styleId="FooterChar">
    <w:name w:val="Footer Char"/>
    <w:basedOn w:val="Standardnpsmoodstavce"/>
    <w:uiPriority w:val="99"/>
    <w:rsid w:val="00BF5097"/>
  </w:style>
  <w:style w:type="paragraph" w:styleId="Titulek">
    <w:name w:val="caption"/>
    <w:basedOn w:val="Normln"/>
    <w:next w:val="Normln"/>
    <w:uiPriority w:val="35"/>
    <w:semiHidden/>
    <w:unhideWhenUsed/>
    <w:qFormat/>
    <w:rsid w:val="00BF509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5097"/>
  </w:style>
  <w:style w:type="table" w:customStyle="1" w:styleId="TableGridLight">
    <w:name w:val="Table Grid Light"/>
    <w:basedOn w:val="Normlntabulka"/>
    <w:uiPriority w:val="59"/>
    <w:rsid w:val="00BF50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rsid w:val="00BF50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Normlntabulka"/>
    <w:uiPriority w:val="59"/>
    <w:rsid w:val="00BF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sid w:val="00BF5097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F5097"/>
    <w:rPr>
      <w:sz w:val="18"/>
    </w:rPr>
  </w:style>
  <w:style w:type="paragraph" w:styleId="Obsah1">
    <w:name w:val="toc 1"/>
    <w:basedOn w:val="Normln"/>
    <w:next w:val="Normln"/>
    <w:uiPriority w:val="39"/>
    <w:unhideWhenUsed/>
    <w:rsid w:val="00BF5097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BF5097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BF5097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BF5097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BF5097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BF5097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BF5097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BF5097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BF5097"/>
    <w:pPr>
      <w:spacing w:after="57"/>
      <w:ind w:left="2268"/>
    </w:pPr>
  </w:style>
  <w:style w:type="paragraph" w:styleId="Nadpisobsahu">
    <w:name w:val="TOC Heading"/>
    <w:uiPriority w:val="39"/>
    <w:unhideWhenUsed/>
    <w:rsid w:val="00BF5097"/>
  </w:style>
  <w:style w:type="paragraph" w:styleId="Odstavecseseznamem">
    <w:name w:val="List Paragraph"/>
    <w:basedOn w:val="Normln"/>
    <w:link w:val="OdstavecseseznamemChar"/>
    <w:uiPriority w:val="34"/>
    <w:qFormat/>
    <w:rsid w:val="00BF50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50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50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0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0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0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097"/>
  </w:style>
  <w:style w:type="paragraph" w:styleId="Zpat">
    <w:name w:val="footer"/>
    <w:basedOn w:val="Normln"/>
    <w:link w:val="ZpatChar"/>
    <w:uiPriority w:val="99"/>
    <w:unhideWhenUsed/>
    <w:rsid w:val="00BF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097"/>
  </w:style>
  <w:style w:type="character" w:styleId="slostrnky">
    <w:name w:val="page number"/>
    <w:basedOn w:val="Standardnpsmoodstavce"/>
    <w:rsid w:val="00BF5097"/>
  </w:style>
  <w:style w:type="table" w:styleId="Mkatabulky">
    <w:name w:val="Table Grid"/>
    <w:basedOn w:val="Normlntabulka"/>
    <w:uiPriority w:val="59"/>
    <w:rsid w:val="00BF50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3">
    <w:name w:val="Light List Accent 3"/>
    <w:basedOn w:val="Normlntabulka"/>
    <w:uiPriority w:val="61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BF50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F50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F5097"/>
    <w:rPr>
      <w:vertAlign w:val="superscript"/>
    </w:rPr>
  </w:style>
  <w:style w:type="paragraph" w:styleId="Revize">
    <w:name w:val="Revision"/>
    <w:hidden/>
    <w:uiPriority w:val="99"/>
    <w:semiHidden/>
    <w:rsid w:val="00BF50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509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BF5097"/>
  </w:style>
  <w:style w:type="character" w:customStyle="1" w:styleId="Nadpis1Char">
    <w:name w:val="Nadpis 1 Char"/>
    <w:basedOn w:val="Standardnpsmoodstavce"/>
    <w:link w:val="Nadpis1"/>
    <w:uiPriority w:val="9"/>
    <w:rsid w:val="00BF5097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BF5097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5097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rsid w:val="00BF5097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F50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F50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F5097"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rsid w:val="00BF5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rsid w:val="00BF509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F5097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5097"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097"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5097"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5097"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097"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5097"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5097"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00FA-16B0-499E-B992-789FC87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Uživatel systému Windows</cp:lastModifiedBy>
  <cp:revision>2</cp:revision>
  <dcterms:created xsi:type="dcterms:W3CDTF">2022-01-06T08:44:00Z</dcterms:created>
  <dcterms:modified xsi:type="dcterms:W3CDTF">2022-01-06T08:44:00Z</dcterms:modified>
</cp:coreProperties>
</file>